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四川振鑫工程项目管理有限公司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/>
          <w:b/>
          <w:bCs w:val="0"/>
          <w:color w:val="auto"/>
          <w:sz w:val="32"/>
          <w:szCs w:val="32"/>
          <w:highlight w:val="none"/>
          <w:lang w:val="en-US" w:eastAsia="zh-CN"/>
        </w:rPr>
        <w:t>交通运输部公路工程监理乙级资质申办服务</w:t>
      </w:r>
      <w:bookmarkStart w:id="0" w:name="_GoBack"/>
      <w:bookmarkEnd w:id="0"/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询价清单》（附件2）</w:t>
      </w: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F3E0DE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19492D4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25CDE5AE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59AF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66309"/>
    <w:rsid w:val="02157810"/>
    <w:rsid w:val="06D85FF2"/>
    <w:rsid w:val="0A366309"/>
    <w:rsid w:val="230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</Words>
  <Characters>449</Characters>
  <Lines>0</Lines>
  <Paragraphs>0</Paragraphs>
  <TotalTime>1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2025-12-02T08:50:00Z</dcterms:created>
  <dc:creator>WPS_1591668586</dc:creator>
  <cp:lastModifiedBy>mxt</cp:lastModifiedBy>
  <dcterms:modified xsi:type="dcterms:W3CDTF">2025-12-11T01:39:59Z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32B5386A2AB84C1391B84D66285E4F51_13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